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FA39D">
      <w:pPr>
        <w:spacing w:before="78" w:line="219" w:lineRule="auto"/>
        <w:ind w:right="-311" w:rightChars="-148" w:firstLine="0" w:firstLineChars="0"/>
        <w:jc w:val="center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6"/>
          <w:sz w:val="24"/>
          <w:szCs w:val="24"/>
          <w:lang w:eastAsia="zh-CN"/>
        </w:rPr>
        <w:t>技术参数要求</w:t>
      </w:r>
    </w:p>
    <w:p w14:paraId="4173180E">
      <w:pPr>
        <w:spacing w:line="360" w:lineRule="auto"/>
        <w:rPr>
          <w:rFonts w:ascii="宋体" w:hAnsi="宋体" w:eastAsia="宋体" w:cs="宋体"/>
          <w:sz w:val="18"/>
          <w:szCs w:val="18"/>
          <w:lang w:eastAsia="zh-CN"/>
        </w:rPr>
      </w:pPr>
    </w:p>
    <w:tbl>
      <w:tblPr>
        <w:tblStyle w:val="13"/>
        <w:tblW w:w="86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7463"/>
      </w:tblGrid>
      <w:tr w14:paraId="132306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196" w:type="dxa"/>
            <w:vAlign w:val="center"/>
          </w:tcPr>
          <w:p w14:paraId="56603F57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品名</w:t>
            </w:r>
          </w:p>
        </w:tc>
        <w:tc>
          <w:tcPr>
            <w:tcW w:w="7463" w:type="dxa"/>
            <w:vAlign w:val="center"/>
          </w:tcPr>
          <w:p w14:paraId="120E0D9F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技术参数</w:t>
            </w:r>
          </w:p>
        </w:tc>
      </w:tr>
      <w:tr w14:paraId="0A3FB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3" w:hRule="atLeast"/>
        </w:trPr>
        <w:tc>
          <w:tcPr>
            <w:tcW w:w="1196" w:type="dxa"/>
            <w:vAlign w:val="center"/>
          </w:tcPr>
          <w:p w14:paraId="64CBB603">
            <w:pPr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组合式空调器机组（包含室内机和室外机）</w:t>
            </w:r>
          </w:p>
        </w:tc>
        <w:tc>
          <w:tcPr>
            <w:tcW w:w="7463" w:type="dxa"/>
          </w:tcPr>
          <w:p w14:paraId="09B7BF40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1.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组合式空调机组，包括新风段、初效段、风机段、表冷段、电加热段、袋式中效段、出风段。</w:t>
            </w:r>
          </w:p>
          <w:p w14:paraId="7256B906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2.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风量：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>3500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立方每小时；新风：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>500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立方每小时；风机余压：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>550-800PA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；制冷量：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>20KW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；电加热：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>6KW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。</w:t>
            </w:r>
          </w:p>
          <w:p w14:paraId="604EDECA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hint="default" w:ascii="宋体" w:hAnsi="宋体" w:eastAsia="宋体"/>
                <w:snapToGrid/>
                <w:color w:val="auto"/>
                <w:sz w:val="20"/>
                <w:lang w:val="en-US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3.箱体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内金属构件表面应作除锈和防腐处理。</w:t>
            </w:r>
          </w:p>
          <w:p w14:paraId="7540677E">
            <w:pPr>
              <w:pStyle w:val="15"/>
              <w:numPr>
                <w:ilvl w:val="0"/>
                <w:numId w:val="0"/>
              </w:numPr>
              <w:spacing w:before="120" w:beforeLines="50" w:after="120" w:afterLines="50" w:line="240" w:lineRule="auto"/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</w:pP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4.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空调机组内表面应平整、光滑、无积灰死角，</w:t>
            </w:r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en-US" w:eastAsia="zh-CN"/>
              </w:rPr>
              <w:t>必须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napToGrid/>
                <w:color w:val="auto"/>
                <w:sz w:val="20"/>
                <w:lang w:val="it-IT" w:eastAsia="zh-CN"/>
              </w:rPr>
              <w:t>满足万级净化间使用要求。</w:t>
            </w:r>
            <w:r>
              <w:rPr>
                <w:rFonts w:ascii="宋体" w:hAnsi="宋体" w:eastAsia="宋体"/>
                <w:snapToGrid/>
                <w:color w:val="auto"/>
                <w:sz w:val="20"/>
                <w:lang w:val="it-IT" w:eastAsia="zh-CN"/>
              </w:rPr>
              <w:t xml:space="preserve">       </w:t>
            </w:r>
          </w:p>
        </w:tc>
      </w:tr>
      <w:tr w14:paraId="6D69AF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5" w:hRule="atLeast"/>
        </w:trPr>
        <w:tc>
          <w:tcPr>
            <w:tcW w:w="1196" w:type="dxa"/>
            <w:vAlign w:val="center"/>
          </w:tcPr>
          <w:p w14:paraId="4D0A4179">
            <w:pPr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彩钢板吊顶</w:t>
            </w:r>
          </w:p>
        </w:tc>
        <w:tc>
          <w:tcPr>
            <w:tcW w:w="7463" w:type="dxa"/>
          </w:tcPr>
          <w:p w14:paraId="56A9EAB9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手工单面玻镁岩棉彩钢板吊顶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 xml:space="preserve"> 50mm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厚岩棉板（耐火时间不小于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小时，需提供耐火检测报告并加盖</w:t>
            </w: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响应单位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公章）。</w:t>
            </w:r>
          </w:p>
          <w:p w14:paraId="68CC20C0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钢板厚度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0.476mm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。</w:t>
            </w:r>
          </w:p>
          <w:p w14:paraId="1864C59C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岩棉容重：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100kg/m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³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,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符合《建筑用金属面绝热夹芯板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GB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T23932-2009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》标准。</w:t>
            </w:r>
          </w:p>
        </w:tc>
      </w:tr>
      <w:tr w14:paraId="0E0BC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5" w:hRule="atLeast"/>
        </w:trPr>
        <w:tc>
          <w:tcPr>
            <w:tcW w:w="1196" w:type="dxa"/>
            <w:shd w:val="clear" w:color="auto" w:fill="auto"/>
            <w:vAlign w:val="center"/>
          </w:tcPr>
          <w:p w14:paraId="43DE4336">
            <w:pPr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彩钢板墙板</w:t>
            </w:r>
          </w:p>
        </w:tc>
        <w:tc>
          <w:tcPr>
            <w:tcW w:w="7463" w:type="dxa"/>
            <w:shd w:val="clear" w:color="auto" w:fill="auto"/>
          </w:tcPr>
          <w:p w14:paraId="78EE8C75">
            <w:pPr>
              <w:pStyle w:val="15"/>
              <w:numPr>
                <w:ilvl w:val="-1"/>
                <w:numId w:val="0"/>
              </w:num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机制岩棉双面彩钢墙板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50mm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厚岩棉板（耐火时间不小于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1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小时，需提供检测机构耐火检测报告并加盖</w:t>
            </w: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响应单位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公章）。</w:t>
            </w:r>
          </w:p>
          <w:p w14:paraId="19C59073">
            <w:p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钢板厚度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0.476mm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。</w:t>
            </w:r>
          </w:p>
          <w:p w14:paraId="79EF1E1C">
            <w:pPr>
              <w:kinsoku/>
              <w:autoSpaceDE/>
              <w:autoSpaceDN/>
              <w:adjustRightInd/>
              <w:snapToGrid/>
              <w:spacing w:before="120" w:beforeLines="50" w:after="120" w:afterLines="50" w:line="240" w:lineRule="auto"/>
              <w:ind w:left="0" w:leftChars="0" w:firstLine="0" w:firstLineChars="0"/>
              <w:textAlignment w:val="auto"/>
              <w:rPr>
                <w:rFonts w:ascii="宋体" w:hAnsi="宋体" w:eastAsia="宋体" w:cs="宋体"/>
                <w:sz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0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岩棉容重：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100kg/m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³，符合《建筑用金属面绝热夹芯板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GB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lang w:eastAsia="zh-CN"/>
              </w:rPr>
              <w:t>T23932-2009</w:t>
            </w:r>
            <w:r>
              <w:rPr>
                <w:rFonts w:hint="eastAsia" w:ascii="宋体" w:hAnsi="宋体" w:eastAsia="宋体" w:cs="宋体"/>
                <w:sz w:val="20"/>
                <w:lang w:eastAsia="zh-CN"/>
              </w:rPr>
              <w:t>》标准。</w:t>
            </w:r>
          </w:p>
        </w:tc>
      </w:tr>
    </w:tbl>
    <w:p w14:paraId="30ADAE92">
      <w:pPr>
        <w:rPr>
          <w:rFonts w:eastAsiaTheme="minorEastAsia"/>
          <w:lang w:eastAsia="zh-CN"/>
        </w:rPr>
      </w:pPr>
    </w:p>
    <w:sectPr>
      <w:headerReference r:id="rId3" w:type="default"/>
      <w:footerReference r:id="rId4" w:type="default"/>
      <w:pgSz w:w="11906" w:h="16839"/>
      <w:pgMar w:top="400" w:right="1509" w:bottom="1156" w:left="1777" w:header="0" w:footer="994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978D8">
    <w:pPr>
      <w:spacing w:line="176" w:lineRule="auto"/>
      <w:rPr>
        <w:rFonts w:ascii="Times New Roman" w:hAnsi="Times New Roman" w:eastAsia="Times New Roman" w:cs="Times New Roman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572299">
    <w:pPr>
      <w:pStyle w:val="3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A28"/>
    <w:rsid w:val="0005122C"/>
    <w:rsid w:val="000B3B90"/>
    <w:rsid w:val="000B7F96"/>
    <w:rsid w:val="000E353D"/>
    <w:rsid w:val="001031F3"/>
    <w:rsid w:val="0010608F"/>
    <w:rsid w:val="001206CC"/>
    <w:rsid w:val="001D2403"/>
    <w:rsid w:val="00303F5C"/>
    <w:rsid w:val="00382F20"/>
    <w:rsid w:val="003D7929"/>
    <w:rsid w:val="003E6522"/>
    <w:rsid w:val="00576B54"/>
    <w:rsid w:val="005C7115"/>
    <w:rsid w:val="006309EA"/>
    <w:rsid w:val="007333BD"/>
    <w:rsid w:val="00751E36"/>
    <w:rsid w:val="00757604"/>
    <w:rsid w:val="00765C4C"/>
    <w:rsid w:val="0079636E"/>
    <w:rsid w:val="007B6B18"/>
    <w:rsid w:val="007E1242"/>
    <w:rsid w:val="00820CF6"/>
    <w:rsid w:val="00861A49"/>
    <w:rsid w:val="008D6585"/>
    <w:rsid w:val="008F3E7B"/>
    <w:rsid w:val="00924A6C"/>
    <w:rsid w:val="009A378A"/>
    <w:rsid w:val="009D0324"/>
    <w:rsid w:val="00A2346A"/>
    <w:rsid w:val="00A43967"/>
    <w:rsid w:val="00A6780C"/>
    <w:rsid w:val="00AA4F71"/>
    <w:rsid w:val="00AC351A"/>
    <w:rsid w:val="00AF5A3D"/>
    <w:rsid w:val="00B33855"/>
    <w:rsid w:val="00B66A28"/>
    <w:rsid w:val="00B7476F"/>
    <w:rsid w:val="00BB028D"/>
    <w:rsid w:val="00BD12CC"/>
    <w:rsid w:val="00BF1EFB"/>
    <w:rsid w:val="00C16592"/>
    <w:rsid w:val="00D9440E"/>
    <w:rsid w:val="00E143D2"/>
    <w:rsid w:val="00E637EF"/>
    <w:rsid w:val="00E92E58"/>
    <w:rsid w:val="00F45442"/>
    <w:rsid w:val="00F86A99"/>
    <w:rsid w:val="12F611D7"/>
    <w:rsid w:val="492A74A4"/>
    <w:rsid w:val="574F6249"/>
    <w:rsid w:val="60123E21"/>
    <w:rsid w:val="63DE6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</w:style>
  <w:style w:type="paragraph" w:styleId="3">
    <w:name w:val="Body Text"/>
    <w:basedOn w:val="1"/>
    <w:link w:val="12"/>
    <w:semiHidden/>
    <w:qFormat/>
    <w:uiPriority w:val="0"/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</w:rPr>
  </w:style>
  <w:style w:type="paragraph" w:styleId="6">
    <w:name w:val="header"/>
    <w:basedOn w:val="1"/>
    <w:link w:val="10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Theme="minorHAnsi" w:hAnsiTheme="minorHAnsi" w:eastAsiaTheme="minorEastAsia" w:cstheme="minorBidi"/>
      <w:snapToGrid/>
      <w:color w:val="auto"/>
      <w:kern w:val="2"/>
      <w:sz w:val="18"/>
      <w:szCs w:val="18"/>
      <w:lang w:eastAsia="zh-CN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正文文本 字符"/>
    <w:basedOn w:val="8"/>
    <w:link w:val="3"/>
    <w:semiHidden/>
    <w:qFormat/>
    <w:uiPriority w:val="0"/>
    <w:rPr>
      <w:rFonts w:ascii="Arial" w:hAnsi="Arial" w:eastAsia="Arial" w:cs="Arial"/>
      <w:snapToGrid w:val="0"/>
      <w:color w:val="000000"/>
      <w:kern w:val="0"/>
      <w:szCs w:val="21"/>
      <w:lang w:eastAsia="en-US"/>
    </w:rPr>
  </w:style>
  <w:style w:type="table" w:customStyle="1" w:styleId="13">
    <w:name w:val="Table Normal"/>
    <w:semiHidden/>
    <w:unhideWhenUsed/>
    <w:qFormat/>
    <w:uiPriority w:val="0"/>
    <w:rPr>
      <w:rFonts w:ascii="Times New Roman" w:hAnsi="Times New Roman" w:eastAsia="宋体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basedOn w:val="8"/>
    <w:link w:val="4"/>
    <w:semiHidden/>
    <w:qFormat/>
    <w:uiPriority w:val="99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350</Words>
  <Characters>433</Characters>
  <Lines>4</Lines>
  <Paragraphs>1</Paragraphs>
  <TotalTime>59</TotalTime>
  <ScaleCrop>false</ScaleCrop>
  <LinksUpToDate>false</LinksUpToDate>
  <CharactersWithSpaces>443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2025-09-09T01:31:00Z</dcterms:created>
  <dc:creator>think</dc:creator>
  <cp:lastModifiedBy>达达牛</cp:lastModifiedBy>
  <dcterms:modified xsi:type="dcterms:W3CDTF">2025-09-16T01:17:12Z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eyJoZGlkIjoiMDA5YTljMmMzYWY1OGYzYjY1ZjRiZmQ2NGU0Yzg0ZDEiLCJ1c2VySWQiOiIyNTUwMjE5MDkifQ==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D8A5FB47576648A094811CD7D382F8FB_13</vt:lpwstr>
  </property>
</Properties>
</file>