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1687" w:firstLineChars="800"/>
        <w:jc w:val="left"/>
        <w:rPr>
          <w:rFonts w:hint="eastAsia" w:ascii="宋体" w:hAnsi="宋体" w:eastAsia="宋体" w:cs="宋体"/>
          <w:b/>
          <w:bCs/>
          <w:szCs w:val="21"/>
          <w:highlight w:val="none"/>
          <w:lang w:eastAsia="zh-CN"/>
        </w:rPr>
      </w:pPr>
      <w:bookmarkStart w:id="0" w:name="_GoBack"/>
      <w:r>
        <w:rPr>
          <w:rFonts w:hint="eastAsia" w:ascii="宋体" w:hAnsi="宋体" w:cs="宋体"/>
          <w:b/>
          <w:bCs/>
          <w:szCs w:val="21"/>
          <w:highlight w:val="none"/>
          <w:lang w:eastAsia="zh-CN"/>
        </w:rPr>
        <w:t>苏州大学金螳螂建筑学院西南入口改造工程</w:t>
      </w:r>
    </w:p>
    <w:bookmarkEnd w:id="0"/>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r>
        <w:rPr>
          <w:rFonts w:hint="eastAsia" w:ascii="宋体" w:hAnsi="宋体" w:cs="宋体"/>
          <w:szCs w:val="21"/>
          <w:highlight w:val="none"/>
          <w:u w:val="single"/>
        </w:rPr>
        <w:t>熊思东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工程立项批准文号：</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资金来源：2022年基建项目经费</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 xml:space="preserve">  </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4"/>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 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 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 方。双方在接到对方的书面联系时，应于 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 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22.1施工结束，竣工验收合格且施工单位提交结算和竣工资料后，支付至合同价（不含暂列金）的50%，结算审计后支付至审定价的97%；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15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36.6工程用水电费：本工程按总造价的1‰扣除；如装表计量，则按实结算。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w:t>
      </w:r>
      <w:r>
        <w:rPr>
          <w:rFonts w:hint="eastAsia" w:ascii="宋体" w:hAnsi="宋体" w:cs="宋体"/>
          <w:sz w:val="22"/>
          <w:szCs w:val="22"/>
          <w:highlight w:val="none"/>
          <w:u w:val="single"/>
          <w:lang w:eastAsia="zh-CN"/>
        </w:rPr>
        <w:t>苏州大学金螳螂建筑学院西南入口改造工程</w:t>
      </w:r>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2Mjk0Y2I5YzQ5ZTkwM2JlMGIxMDc4N2JhODBlNjcifQ=="/>
  </w:docVars>
  <w:rsids>
    <w:rsidRoot w:val="548441A1"/>
    <w:rsid w:val="3531696F"/>
    <w:rsid w:val="54844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character" w:styleId="6">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think</cp:lastModifiedBy>
  <dcterms:modified xsi:type="dcterms:W3CDTF">2022-06-08T08:25:31Z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1DE2EA4AA78A4665B27A011C25804BE8</vt:lpwstr>
  </property>
</Properties>
</file>