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54" w:tblpY="454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60"/>
        <w:gridCol w:w="6387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评分项目</w:t>
            </w: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评分内容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响应单位业绩、社会信誉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17分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1.响应单位具有有效期内质量管理体系认证证书的得2分。响应文件中提供证书原件扫描件及中国认监委网站查询结果截图(格式同备注)，提供不全或未提供的不得分。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2.响应单位具有有效期内环境管理体系认证证书的得2分。响应文件中提供证书原件扫描件及中国认监委网站查询结果截图(格式同备注)，提供不全或未提供的不得分。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3.响应单位具有有效期内职业健康安全管理体系认证证书的得2分。响应文件中提供证书原件扫描件及中国认监委网站查询结果截图(格式同备注)，提供不全或未提供的不得分。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4.响应单位自2022年7月以来承建的工程项目，获得县区级政府相关部门颁发的优质工程奖证书的，得2分；获得地市级及以上政府相关部门颁发的优质工程奖证书的，得5分。(以获奖证书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复印件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为准)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5.响应单位自2022年7月以来(以竣工验收证书为准)承建的类似工程项目，每提供一个业绩证明得2分，累计计算，最高得6分。(以合同、竣工验收证书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复印件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为准，同一服务单位不重复计算)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施工组织设计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42分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1.根据响应单位针对项目特点制定的施工组织总体概述综合评分。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工程概述、总体安排、施工部署及施工段划分等完整、合理、高效的，得13分；较为完整、合理、高效的，得11分；具有一定可行性的，得9分；基本可行但略有不足的，得6分；有涉及但不全面的，得3分；概述空洞、缺乏实质性内容的，得1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2.根据施工现场平面布置、临时设施等方案综合评分。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方案内容全面完整、针对性强的，得5分；方案内容较完整、针对性较强的，得4分；方案内容完整性、针对性均一般的，得3分；方案实质性内容较少、针对性不够的，得2分；方案内容空洞、针对性较差的，得1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3.根据施工进度计划和各阶段进度的保障措施等综合评分。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施工进度计划及其保障措施清晰明了、科学合理、可实施性强的，得5分；较为清晰、可实施性较强的，得4分；合理性、可实施性均一般的，得3分；有涉及但不全面的，得2分；方案空洞、针对性较差的，得1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4.根据质量、安全、现场保护、环境（噪音、灰尘等）保护措施综合评分。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各项措施可操作性强、内容描述详细的，得5分；具有一定可操作性，内容描述较详细的，得4分；可操作性一般的，得3分；内容描述不够全面的，得2分；措施针对性较差的，得1分；未提供不得分。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5.根据劳动力、机械设备和材料投入计划等综合评分。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人、机、料投入科学合理，能完全满足施工需要的，得6分；较科学合理、基本满足施工需要的，得4分；有涉及但不全面的得2分；未提供不得分。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6.根据关键施工技术、工艺及项目实施的重点、难点和解决方案等综合评分。</w:t>
            </w:r>
          </w:p>
          <w:p>
            <w:pPr>
              <w:numPr>
                <w:ilvl w:val="255"/>
                <w:numId w:val="0"/>
              </w:numPr>
              <w:spacing w:line="360" w:lineRule="auto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关键施工技术列举全面，重难点分析透彻、处理方法可行的，得8分；关键施工技术列举较为全面，重难点分析较透彻、处理方法较可行的，得7分；分析简略、处理方法基本可行的，得5分；有涉及但不全面的，得3分；方案空洞、缺乏实质性内容的，得1分；未提供不得分。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项目经理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6分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6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项目经理具有高级工程师及以上职称的，得6分；具有工程师职称的，得3分。(以证书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  <w:highlight w:val="none"/>
                <w:lang w:val="en-US" w:eastAsia="zh-CN" w:bidi="ar"/>
              </w:rPr>
              <w:t>复印件</w:t>
            </w: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为准)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4"/>
                <w:szCs w:val="21"/>
                <w:highlight w:val="none"/>
                <w:lang w:val="en-US" w:eastAsia="zh-CN" w:bidi="ar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WYzZjc1OGE5ZjFiOGMwOGQzOTIxMDhlNjg2ODkifQ=="/>
  </w:docVars>
  <w:rsids>
    <w:rsidRoot w:val="367B42B2"/>
    <w:rsid w:val="367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2025-07-21T12:09:00Z</dcterms:created>
  <dc:creator>高海燕</dc:creator>
  <cp:lastModifiedBy>高海燕</cp:lastModifiedBy>
  <dcterms:modified xsi:type="dcterms:W3CDTF">2025-07-21T12:11:56Z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C70F7F40B2B24362BDD92F3964E92758</vt:lpwstr>
  </property>
</Properties>
</file>